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1F8AAA">
      <w:pPr>
        <w:spacing w:line="560" w:lineRule="exact"/>
        <w:jc w:val="center"/>
        <w:rPr>
          <w:rFonts w:hint="eastAsia" w:ascii="Times New Roman" w:hAnsi="Times New Roman" w:eastAsia="华文中宋" w:cs="Times New Roman"/>
          <w:b/>
          <w:sz w:val="32"/>
          <w:szCs w:val="32"/>
          <w:lang w:eastAsia="zh-CN"/>
        </w:rPr>
      </w:pPr>
      <w:r>
        <w:rPr>
          <w:rFonts w:ascii="Times New Roman" w:hAnsi="Times New Roman" w:eastAsia="华文中宋" w:cs="Times New Roman"/>
          <w:b/>
          <w:sz w:val="32"/>
          <w:szCs w:val="32"/>
        </w:rPr>
        <w:t>补充商业医疗保险理赔</w:t>
      </w:r>
      <w:r>
        <w:rPr>
          <w:rFonts w:hint="eastAsia" w:ascii="Times New Roman" w:hAnsi="Times New Roman" w:eastAsia="华文中宋" w:cs="Times New Roman"/>
          <w:b/>
          <w:sz w:val="32"/>
          <w:szCs w:val="32"/>
          <w:lang w:val="en-US" w:eastAsia="zh-CN"/>
        </w:rPr>
        <w:t>流程</w:t>
      </w:r>
    </w:p>
    <w:p w14:paraId="7917A3F9">
      <w:pPr>
        <w:spacing w:line="560" w:lineRule="exact"/>
        <w:rPr>
          <w:rFonts w:ascii="Times New Roman" w:hAnsi="Times New Roman" w:eastAsia="仿宋" w:cs="Times New Roman"/>
          <w:sz w:val="28"/>
          <w:szCs w:val="28"/>
        </w:rPr>
      </w:pPr>
    </w:p>
    <w:p w14:paraId="1980A124">
      <w:pPr>
        <w:spacing w:line="560" w:lineRule="exact"/>
        <w:ind w:firstLine="560" w:firstLineChars="200"/>
        <w:rPr>
          <w:rFonts w:ascii="Times New Roman" w:hAnsi="Times New Roman" w:eastAsia="仿宋" w:cs="Times New Roman"/>
          <w:sz w:val="28"/>
          <w:szCs w:val="28"/>
        </w:rPr>
      </w:pPr>
      <w:r>
        <w:rPr>
          <w:rFonts w:ascii="Times New Roman" w:hAnsi="Times New Roman" w:eastAsia="仿宋" w:cs="Times New Roman"/>
          <w:sz w:val="28"/>
          <w:szCs w:val="28"/>
        </w:rPr>
        <w:t>如需进行补充商业医疗保险的理赔（小额意外、住院、</w:t>
      </w:r>
      <w:bookmarkStart w:id="0" w:name="_GoBack"/>
      <w:bookmarkEnd w:id="0"/>
      <w:r>
        <w:rPr>
          <w:rFonts w:ascii="Times New Roman" w:hAnsi="Times New Roman" w:eastAsia="仿宋" w:cs="Times New Roman"/>
          <w:sz w:val="28"/>
          <w:szCs w:val="28"/>
        </w:rPr>
        <w:t>居保大病门诊），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>需</w:t>
      </w:r>
      <w:r>
        <w:rPr>
          <w:rFonts w:hint="eastAsia" w:ascii="Times New Roman" w:hAnsi="Times New Roman" w:eastAsia="仿宋" w:cs="Times New Roman"/>
          <w:sz w:val="28"/>
          <w:szCs w:val="28"/>
        </w:rPr>
        <w:t>采取</w:t>
      </w:r>
      <w:r>
        <w:rPr>
          <w:rFonts w:ascii="Times New Roman" w:hAnsi="Times New Roman" w:eastAsia="仿宋" w:cs="Times New Roman"/>
          <w:sz w:val="28"/>
          <w:szCs w:val="28"/>
        </w:rPr>
        <w:t>线上申请办理</w:t>
      </w:r>
      <w:r>
        <w:rPr>
          <w:rFonts w:hint="eastAsia" w:ascii="Times New Roman" w:hAnsi="Times New Roman" w:eastAsia="仿宋" w:cs="Times New Roman"/>
          <w:sz w:val="28"/>
          <w:szCs w:val="28"/>
        </w:rPr>
        <w:t>，</w:t>
      </w:r>
      <w:r>
        <w:rPr>
          <w:rFonts w:ascii="Times New Roman" w:hAnsi="Times New Roman" w:eastAsia="仿宋" w:cs="Times New Roman"/>
          <w:sz w:val="28"/>
          <w:szCs w:val="28"/>
        </w:rPr>
        <w:t>具体可参照以下方式：</w:t>
      </w:r>
    </w:p>
    <w:p w14:paraId="76B2B0C0">
      <w:pPr>
        <w:spacing w:line="560" w:lineRule="exact"/>
        <w:ind w:firstLine="562" w:firstLineChars="200"/>
        <w:rPr>
          <w:rFonts w:ascii="Times New Roman" w:hAnsi="Times New Roman" w:eastAsia="楷体" w:cs="Times New Roman"/>
          <w:b/>
          <w:sz w:val="28"/>
          <w:szCs w:val="28"/>
        </w:rPr>
      </w:pPr>
      <w:r>
        <w:rPr>
          <w:rFonts w:ascii="Times New Roman" w:hAnsi="Times New Roman" w:eastAsia="楷体" w:cs="Times New Roman"/>
          <w:b/>
          <w:sz w:val="28"/>
          <w:szCs w:val="28"/>
        </w:rPr>
        <w:t>一、住院：</w:t>
      </w:r>
    </w:p>
    <w:p w14:paraId="4033AB50">
      <w:pPr>
        <w:spacing w:line="560" w:lineRule="exact"/>
        <w:ind w:firstLine="560" w:firstLineChars="200"/>
        <w:rPr>
          <w:rFonts w:ascii="Times New Roman" w:hAnsi="Times New Roman" w:eastAsia="仿宋" w:cs="Times New Roman"/>
          <w:sz w:val="28"/>
          <w:szCs w:val="28"/>
        </w:rPr>
      </w:pPr>
      <w:r>
        <w:rPr>
          <w:rFonts w:ascii="Times New Roman" w:hAnsi="Times New Roman" w:eastAsia="仿宋" w:cs="Times New Roman"/>
          <w:sz w:val="28"/>
          <w:szCs w:val="28"/>
        </w:rPr>
        <w:t>可通过</w:t>
      </w:r>
      <w:r>
        <w:rPr>
          <w:rFonts w:hint="eastAsia" w:ascii="Times New Roman" w:hAnsi="Times New Roman" w:eastAsia="仿宋" w:cs="Times New Roman"/>
          <w:sz w:val="28"/>
          <w:szCs w:val="28"/>
        </w:rPr>
        <w:t>“中国人寿寿险APP”</w:t>
      </w:r>
      <w:r>
        <w:rPr>
          <w:rFonts w:ascii="Times New Roman" w:hAnsi="Times New Roman" w:eastAsia="仿宋" w:cs="Times New Roman"/>
          <w:sz w:val="28"/>
          <w:szCs w:val="28"/>
        </w:rPr>
        <w:t>进行线上理赔申请，具体操作流程可参照《附件1：</w:t>
      </w:r>
      <w:r>
        <w:rPr>
          <w:rFonts w:hint="eastAsia" w:ascii="Times New Roman" w:hAnsi="Times New Roman" w:eastAsia="仿宋" w:cs="Times New Roman"/>
          <w:sz w:val="28"/>
          <w:szCs w:val="28"/>
        </w:rPr>
        <w:t>APP</w:t>
      </w:r>
      <w:r>
        <w:rPr>
          <w:rFonts w:ascii="Times New Roman" w:hAnsi="Times New Roman" w:eastAsia="仿宋" w:cs="Times New Roman"/>
          <w:sz w:val="28"/>
          <w:szCs w:val="28"/>
        </w:rPr>
        <w:t>理赔操作指南》</w:t>
      </w:r>
      <w:r>
        <w:rPr>
          <w:rFonts w:hint="eastAsia" w:ascii="Times New Roman" w:hAnsi="Times New Roman" w:eastAsia="仿宋" w:cs="Times New Roman"/>
          <w:sz w:val="28"/>
          <w:szCs w:val="28"/>
        </w:rPr>
        <w:t>。</w:t>
      </w:r>
    </w:p>
    <w:p w14:paraId="193FF5C1">
      <w:pPr>
        <w:spacing w:line="560" w:lineRule="exact"/>
        <w:ind w:firstLine="560" w:firstLineChars="200"/>
        <w:rPr>
          <w:rFonts w:ascii="Times New Roman" w:hAnsi="Times New Roman" w:eastAsia="仿宋" w:cs="Times New Roman"/>
          <w:color w:val="FF0000"/>
          <w:sz w:val="28"/>
          <w:szCs w:val="28"/>
        </w:rPr>
      </w:pPr>
      <w:r>
        <w:rPr>
          <w:rFonts w:hint="eastAsia" w:ascii="Times New Roman" w:hAnsi="Times New Roman" w:eastAsia="仿宋" w:cs="Times New Roman"/>
          <w:color w:val="FF0000"/>
          <w:sz w:val="28"/>
          <w:szCs w:val="28"/>
        </w:rPr>
        <w:t>（友情提示：住院需先使用大学生居民医保结算后，方可理赔；对于异地住院的，请在“上海社保卡”APP或支付宝申请异地就医备案；如医保卡未拿到或未激活的，先全自费住院，后回上海医保中心结算后，方可理赔。）</w:t>
      </w:r>
    </w:p>
    <w:p w14:paraId="45C3B0D9">
      <w:pPr>
        <w:spacing w:line="560" w:lineRule="exact"/>
        <w:ind w:firstLine="562" w:firstLineChars="200"/>
        <w:rPr>
          <w:rFonts w:ascii="Times New Roman" w:hAnsi="Times New Roman" w:eastAsia="楷体" w:cs="Times New Roman"/>
          <w:b/>
          <w:sz w:val="28"/>
          <w:szCs w:val="28"/>
        </w:rPr>
      </w:pPr>
      <w:r>
        <w:rPr>
          <w:rFonts w:ascii="Times New Roman" w:hAnsi="Times New Roman" w:eastAsia="楷体" w:cs="Times New Roman"/>
          <w:b/>
          <w:sz w:val="28"/>
          <w:szCs w:val="28"/>
        </w:rPr>
        <w:t>二、居保大病：</w:t>
      </w:r>
    </w:p>
    <w:p w14:paraId="7F645676">
      <w:pPr>
        <w:spacing w:line="560" w:lineRule="exact"/>
        <w:ind w:firstLine="560" w:firstLineChars="200"/>
        <w:rPr>
          <w:rFonts w:ascii="Times New Roman" w:hAnsi="Times New Roman" w:eastAsia="仿宋" w:cs="Times New Roman"/>
          <w:color w:val="FF0000"/>
          <w:sz w:val="28"/>
          <w:szCs w:val="28"/>
        </w:rPr>
      </w:pPr>
      <w:r>
        <w:rPr>
          <w:rFonts w:hint="eastAsia" w:ascii="Times New Roman" w:hAnsi="Times New Roman" w:eastAsia="仿宋" w:cs="Times New Roman"/>
          <w:color w:val="FF0000"/>
          <w:sz w:val="28"/>
          <w:szCs w:val="28"/>
        </w:rPr>
        <w:t>（友情提示：因上海大学生居民医保改革，自2023年01月01日起已启动医保卡，对于符合《上海市城乡居民大病保险办法》的大病门诊和大病住院，请拨打95519客服电话，咨询最近的受理柜面，自行前往提交理赔材料。）</w:t>
      </w:r>
    </w:p>
    <w:p w14:paraId="4755E0B5">
      <w:pPr>
        <w:spacing w:line="560" w:lineRule="exact"/>
        <w:ind w:firstLine="562" w:firstLineChars="200"/>
        <w:rPr>
          <w:rFonts w:ascii="Times New Roman" w:hAnsi="Times New Roman" w:eastAsia="仿宋" w:cs="Times New Roman"/>
          <w:b/>
          <w:sz w:val="28"/>
          <w:szCs w:val="28"/>
        </w:rPr>
      </w:pPr>
      <w:r>
        <w:rPr>
          <w:rFonts w:ascii="Times New Roman" w:hAnsi="Times New Roman" w:eastAsia="仿宋" w:cs="Times New Roman"/>
          <w:b/>
          <w:sz w:val="28"/>
          <w:szCs w:val="28"/>
        </w:rPr>
        <w:t>由于居保大病时效限制，材料提交需自费用发生之日起180日以内（以纸质材料收到为准，门诊以就诊当天起计算，住院以入院当天起计算）。</w:t>
      </w:r>
    </w:p>
    <w:p w14:paraId="449A52B3">
      <w:pPr>
        <w:spacing w:line="560" w:lineRule="exact"/>
        <w:ind w:firstLine="562" w:firstLineChars="200"/>
        <w:rPr>
          <w:rFonts w:ascii="Times New Roman" w:hAnsi="Times New Roman" w:eastAsia="仿宋" w:cs="Times New Roman"/>
          <w:b/>
          <w:sz w:val="28"/>
          <w:szCs w:val="28"/>
        </w:rPr>
      </w:pPr>
      <w:r>
        <w:rPr>
          <w:rFonts w:hint="eastAsia" w:ascii="Times New Roman" w:hAnsi="Times New Roman" w:eastAsia="仿宋" w:cs="Times New Roman"/>
          <w:b/>
          <w:sz w:val="28"/>
          <w:szCs w:val="28"/>
        </w:rPr>
        <w:t>具体细则详见《上海市城乡居民大病保险办法》。</w:t>
      </w:r>
    </w:p>
    <w:p w14:paraId="6F6379C9">
      <w:pPr>
        <w:spacing w:line="560" w:lineRule="exact"/>
        <w:ind w:firstLine="402" w:firstLineChars="200"/>
        <w:rPr>
          <w:rFonts w:ascii="Times New Roman" w:hAnsi="Times New Roman" w:eastAsia="仿宋" w:cs="Times New Roman"/>
          <w:sz w:val="20"/>
          <w:szCs w:val="28"/>
        </w:rPr>
      </w:pPr>
      <w:r>
        <w:rPr>
          <w:rFonts w:hint="eastAsia" w:ascii="Times New Roman" w:hAnsi="Times New Roman" w:eastAsia="仿宋" w:cs="Times New Roman"/>
          <w:b/>
          <w:sz w:val="20"/>
          <w:szCs w:val="28"/>
        </w:rPr>
        <w:t>第四条</w:t>
      </w:r>
      <w:r>
        <w:rPr>
          <w:rFonts w:ascii="Times New Roman" w:hAnsi="Times New Roman" w:eastAsia="仿宋" w:cs="Times New Roman"/>
          <w:b/>
          <w:sz w:val="20"/>
          <w:szCs w:val="28"/>
        </w:rPr>
        <w:t xml:space="preserve"> </w:t>
      </w:r>
      <w:r>
        <w:rPr>
          <w:rFonts w:ascii="Times New Roman" w:hAnsi="Times New Roman" w:eastAsia="仿宋" w:cs="Times New Roman"/>
          <w:sz w:val="20"/>
          <w:szCs w:val="28"/>
        </w:rPr>
        <w:t>参保居民因重症尿毒症透析治疗、肾移植抗排异治疗、恶性肿瘤治疗（化学治疗、内分泌特异治疗、放射治疗、同位素治疗、介入治疗、中医治疗）、部分精神病病种治疗（精神分裂症、中重度抑郁症、躁狂症、强迫症、精神发育迟缓伴发精神障碍、癫痫伴发精神障碍、偏执性精神病）所发生的医疗费用，纳入城乡居民大病保险范围。</w:t>
      </w:r>
    </w:p>
    <w:p w14:paraId="56440F47">
      <w:pPr>
        <w:spacing w:line="560" w:lineRule="exact"/>
        <w:ind w:firstLine="400"/>
        <w:rPr>
          <w:rFonts w:ascii="Times New Roman" w:hAnsi="Times New Roman" w:eastAsia="仿宋" w:cs="Times New Roman"/>
          <w:b/>
          <w:sz w:val="20"/>
          <w:szCs w:val="28"/>
        </w:rPr>
      </w:pPr>
      <w:r>
        <w:rPr>
          <w:rFonts w:ascii="Times New Roman" w:hAnsi="Times New Roman" w:eastAsia="仿宋" w:cs="Times New Roman"/>
          <w:sz w:val="20"/>
          <w:szCs w:val="28"/>
        </w:rPr>
        <w:t>本市高等院校在校学生因患血友病、再生障碍性贫血所发生的医疗费用，一并纳入城乡居民大病保险范围。</w:t>
      </w:r>
      <w:r>
        <w:rPr>
          <w:rFonts w:hint="eastAsia" w:ascii="Times New Roman" w:hAnsi="Times New Roman" w:eastAsia="仿宋" w:cs="Times New Roman"/>
          <w:b/>
          <w:sz w:val="20"/>
          <w:szCs w:val="28"/>
        </w:rPr>
        <w:t>（该内容截自《上海市城乡居民大病保险办法》）</w:t>
      </w:r>
    </w:p>
    <w:p w14:paraId="0C0AE8FE">
      <w:pPr>
        <w:spacing w:line="560" w:lineRule="exact"/>
        <w:ind w:firstLine="562" w:firstLineChars="200"/>
        <w:rPr>
          <w:rFonts w:ascii="Times New Roman" w:hAnsi="Times New Roman" w:eastAsia="楷体" w:cs="Times New Roman"/>
          <w:b/>
          <w:sz w:val="28"/>
          <w:szCs w:val="28"/>
        </w:rPr>
      </w:pPr>
      <w:r>
        <w:rPr>
          <w:rFonts w:ascii="Times New Roman" w:hAnsi="Times New Roman" w:eastAsia="楷体" w:cs="Times New Roman"/>
          <w:b/>
          <w:sz w:val="28"/>
          <w:szCs w:val="28"/>
        </w:rPr>
        <w:t>三、小额意外（缝针、骨折、猫狗抓咬伤等）：</w:t>
      </w:r>
    </w:p>
    <w:p w14:paraId="199915B8">
      <w:pPr>
        <w:spacing w:line="560" w:lineRule="exact"/>
        <w:ind w:firstLine="560" w:firstLineChars="200"/>
        <w:rPr>
          <w:rFonts w:ascii="Times New Roman" w:hAnsi="Times New Roman" w:eastAsia="仿宋" w:cs="Times New Roman"/>
          <w:color w:val="FF0000"/>
          <w:sz w:val="28"/>
          <w:szCs w:val="28"/>
        </w:rPr>
      </w:pPr>
      <w:r>
        <w:rPr>
          <w:rFonts w:hint="eastAsia" w:ascii="Times New Roman" w:hAnsi="Times New Roman" w:eastAsia="仿宋" w:cs="Times New Roman"/>
          <w:color w:val="FF0000"/>
          <w:sz w:val="28"/>
          <w:szCs w:val="28"/>
        </w:rPr>
        <w:t>（注意：该项目为保险公司赠送小额的定额补偿，与实际发生的医疗费用无关，最终解释权归保险公司所有。）</w:t>
      </w:r>
    </w:p>
    <w:p w14:paraId="20E2E539">
      <w:pPr>
        <w:spacing w:line="560" w:lineRule="exact"/>
        <w:ind w:firstLine="560" w:firstLineChars="200"/>
        <w:rPr>
          <w:rFonts w:ascii="Times New Roman" w:hAnsi="Times New Roman" w:eastAsia="仿宋" w:cs="Times New Roman"/>
          <w:sz w:val="28"/>
          <w:szCs w:val="28"/>
        </w:rPr>
      </w:pPr>
      <w:r>
        <w:rPr>
          <w:rFonts w:ascii="Times New Roman" w:hAnsi="Times New Roman" w:eastAsia="仿宋" w:cs="Times New Roman"/>
          <w:sz w:val="28"/>
          <w:szCs w:val="28"/>
        </w:rPr>
        <w:t>请准备好相关纸本材料，并扫描或制成图文清晰的PDF文档或JPG文档（如为PDF格式的，一项材料为一个PDF文档；如为JPG格式的，请将属于同一项材料的各JPG文件打成一个压缩包）。</w:t>
      </w:r>
      <w:r>
        <w:fldChar w:fldCharType="begin"/>
      </w:r>
      <w:r>
        <w:instrText xml:space="preserve"> HYPERLINK "mailto:将材料发送至fudansblp@163.com" </w:instrText>
      </w:r>
      <w:r>
        <w:fldChar w:fldCharType="separate"/>
      </w:r>
      <w:r>
        <w:rPr>
          <w:rFonts w:ascii="Times New Roman" w:hAnsi="Times New Roman" w:eastAsia="仿宋" w:cs="Times New Roman"/>
          <w:sz w:val="28"/>
          <w:szCs w:val="28"/>
        </w:rPr>
        <w:t>将材料电子版发送至fudansblp@163.com</w:t>
      </w:r>
      <w:r>
        <w:rPr>
          <w:rFonts w:ascii="Times New Roman" w:hAnsi="Times New Roman" w:eastAsia="仿宋" w:cs="Times New Roman"/>
          <w:sz w:val="28"/>
          <w:szCs w:val="28"/>
        </w:rPr>
        <w:fldChar w:fldCharType="end"/>
      </w:r>
      <w:r>
        <w:rPr>
          <w:rFonts w:hint="eastAsia" w:ascii="Times New Roman" w:hAnsi="Times New Roman" w:eastAsia="仿宋" w:cs="Times New Roman"/>
          <w:sz w:val="28"/>
          <w:szCs w:val="28"/>
        </w:rPr>
        <w:t>，邮件标题为“复旦大学保险理赔+学号+姓名+手机联系方式”（例：复旦大学保险理赔19300110001某某某19912345678）</w:t>
      </w:r>
      <w:r>
        <w:rPr>
          <w:rFonts w:ascii="Times New Roman" w:hAnsi="Times New Roman" w:eastAsia="仿宋" w:cs="Times New Roman"/>
          <w:sz w:val="28"/>
          <w:szCs w:val="28"/>
        </w:rPr>
        <w:t>。如电子版材料审核齐全无误后，保险公司将于一周内与您联系纸本材料的寄送和后续理赔事宜（如有遗漏或不符合理赔要求，也请留意相关邮件通知）。</w:t>
      </w:r>
    </w:p>
    <w:p w14:paraId="3B808A15">
      <w:pPr>
        <w:spacing w:line="560" w:lineRule="exact"/>
        <w:ind w:firstLine="560" w:firstLineChars="200"/>
        <w:rPr>
          <w:rFonts w:ascii="Times New Roman" w:hAnsi="Times New Roman" w:eastAsia="仿宋" w:cs="Times New Roman"/>
          <w:sz w:val="28"/>
          <w:szCs w:val="28"/>
        </w:rPr>
      </w:pPr>
      <w:r>
        <w:rPr>
          <w:rFonts w:ascii="Times New Roman" w:hAnsi="Times New Roman" w:eastAsia="仿宋" w:cs="Times New Roman"/>
          <w:sz w:val="28"/>
          <w:szCs w:val="28"/>
        </w:rPr>
        <w:t>如学期内理赔申请流程及递交方式有所变更的，届时将另行通知。</w:t>
      </w:r>
    </w:p>
    <w:p w14:paraId="4D3E2151">
      <w:pPr>
        <w:spacing w:line="560" w:lineRule="exact"/>
        <w:ind w:firstLine="560" w:firstLineChars="200"/>
        <w:rPr>
          <w:rFonts w:ascii="Times New Roman" w:hAnsi="Times New Roman" w:eastAsia="仿宋" w:cs="Times New Roman"/>
          <w:sz w:val="28"/>
          <w:szCs w:val="28"/>
        </w:rPr>
      </w:pPr>
    </w:p>
    <w:p w14:paraId="63910A86">
      <w:pPr>
        <w:spacing w:line="560" w:lineRule="exact"/>
        <w:ind w:firstLine="560" w:firstLineChars="200"/>
        <w:rPr>
          <w:rFonts w:ascii="Times New Roman" w:hAnsi="Times New Roman" w:eastAsia="仿宋" w:cs="Times New Roman"/>
          <w:sz w:val="28"/>
          <w:szCs w:val="28"/>
        </w:rPr>
      </w:pPr>
      <w:r>
        <w:rPr>
          <w:rFonts w:ascii="Times New Roman" w:hAnsi="Times New Roman" w:eastAsia="仿宋" w:cs="Times New Roman"/>
          <w:sz w:val="28"/>
          <w:szCs w:val="28"/>
        </w:rPr>
        <w:t xml:space="preserve">附件1. </w:t>
      </w:r>
      <w:r>
        <w:rPr>
          <w:rFonts w:hint="eastAsia" w:ascii="Times New Roman" w:hAnsi="Times New Roman" w:eastAsia="仿宋" w:cs="Times New Roman"/>
          <w:sz w:val="28"/>
          <w:szCs w:val="28"/>
        </w:rPr>
        <w:t>APP</w:t>
      </w:r>
      <w:r>
        <w:rPr>
          <w:rFonts w:ascii="Times New Roman" w:hAnsi="Times New Roman" w:eastAsia="仿宋" w:cs="Times New Roman"/>
          <w:sz w:val="28"/>
          <w:szCs w:val="28"/>
        </w:rPr>
        <w:t>理赔操作指南</w:t>
      </w:r>
    </w:p>
    <w:p w14:paraId="4E4D9850">
      <w:pPr>
        <w:spacing w:line="560" w:lineRule="exact"/>
        <w:ind w:firstLine="560" w:firstLineChars="200"/>
        <w:rPr>
          <w:rFonts w:ascii="Times New Roman" w:hAnsi="Times New Roman" w:eastAsia="仿宋" w:cs="Times New Roman"/>
          <w:sz w:val="28"/>
          <w:szCs w:val="28"/>
        </w:rPr>
      </w:pPr>
      <w:r>
        <w:rPr>
          <w:rFonts w:ascii="Times New Roman" w:hAnsi="Times New Roman" w:eastAsia="仿宋" w:cs="Times New Roman"/>
          <w:sz w:val="28"/>
          <w:szCs w:val="28"/>
        </w:rPr>
        <w:t>附件2.各理赔类别材料清单</w:t>
      </w:r>
    </w:p>
    <w:p w14:paraId="11D9028B">
      <w:pPr>
        <w:spacing w:line="560" w:lineRule="exact"/>
        <w:ind w:firstLine="560" w:firstLineChars="200"/>
        <w:rPr>
          <w:rFonts w:ascii="Times New Roman" w:hAnsi="Times New Roman" w:eastAsia="仿宋" w:cs="Times New Roman"/>
          <w:sz w:val="28"/>
          <w:szCs w:val="28"/>
        </w:rPr>
      </w:pPr>
      <w:r>
        <w:rPr>
          <w:rFonts w:hint="eastAsia" w:ascii="Times New Roman" w:hAnsi="Times New Roman" w:eastAsia="仿宋" w:cs="Times New Roman"/>
          <w:sz w:val="28"/>
          <w:szCs w:val="28"/>
        </w:rPr>
        <w:t>附件3.《理赔申请书》</w:t>
      </w:r>
    </w:p>
    <w:p w14:paraId="4D433AEE">
      <w:pPr>
        <w:spacing w:line="560" w:lineRule="exact"/>
        <w:ind w:firstLine="560" w:firstLineChars="200"/>
        <w:rPr>
          <w:rFonts w:ascii="Times New Roman" w:hAnsi="Times New Roman" w:eastAsia="仿宋" w:cs="Times New Roman"/>
          <w:sz w:val="28"/>
          <w:szCs w:val="28"/>
        </w:rPr>
      </w:pPr>
    </w:p>
    <w:p w14:paraId="3F444CA8">
      <w:pPr>
        <w:spacing w:line="560" w:lineRule="exact"/>
        <w:ind w:right="280" w:firstLine="560" w:firstLineChars="200"/>
        <w:jc w:val="right"/>
        <w:rPr>
          <w:rFonts w:ascii="Times New Roman" w:hAnsi="Times New Roman" w:eastAsia="仿宋" w:cs="Times New Roman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kxYTA3MzM3YWFjODhmZTRiYzQ3Yjk1YzY2ZjQxM2UifQ=="/>
    <w:docVar w:name="KSO_WPS_MARK_KEY" w:val="1e4e9ff3-1455-43a4-bc33-d62f5ba5e516"/>
  </w:docVars>
  <w:rsids>
    <w:rsidRoot w:val="00EC2254"/>
    <w:rsid w:val="00047487"/>
    <w:rsid w:val="00095226"/>
    <w:rsid w:val="000C56AB"/>
    <w:rsid w:val="000D3B9C"/>
    <w:rsid w:val="00131861"/>
    <w:rsid w:val="00166B3B"/>
    <w:rsid w:val="00171D9E"/>
    <w:rsid w:val="001871F8"/>
    <w:rsid w:val="00272D60"/>
    <w:rsid w:val="002B5643"/>
    <w:rsid w:val="002B7010"/>
    <w:rsid w:val="002C4121"/>
    <w:rsid w:val="003D513C"/>
    <w:rsid w:val="004104EC"/>
    <w:rsid w:val="00417F52"/>
    <w:rsid w:val="00525FF2"/>
    <w:rsid w:val="00593258"/>
    <w:rsid w:val="005C7E09"/>
    <w:rsid w:val="00606872"/>
    <w:rsid w:val="006258F5"/>
    <w:rsid w:val="006612C6"/>
    <w:rsid w:val="006649B7"/>
    <w:rsid w:val="00677F84"/>
    <w:rsid w:val="006D3BF5"/>
    <w:rsid w:val="00740AFE"/>
    <w:rsid w:val="007C4735"/>
    <w:rsid w:val="00820CDF"/>
    <w:rsid w:val="00865C44"/>
    <w:rsid w:val="008931B1"/>
    <w:rsid w:val="008F43DE"/>
    <w:rsid w:val="009216C9"/>
    <w:rsid w:val="009505F5"/>
    <w:rsid w:val="00A5619E"/>
    <w:rsid w:val="00AC5F7B"/>
    <w:rsid w:val="00B2249D"/>
    <w:rsid w:val="00B5698E"/>
    <w:rsid w:val="00B82F3D"/>
    <w:rsid w:val="00D1660E"/>
    <w:rsid w:val="00D41DD9"/>
    <w:rsid w:val="00D5710C"/>
    <w:rsid w:val="00D77D29"/>
    <w:rsid w:val="00E10008"/>
    <w:rsid w:val="00EB45AD"/>
    <w:rsid w:val="00EC2254"/>
    <w:rsid w:val="00EE1FA3"/>
    <w:rsid w:val="00F17D48"/>
    <w:rsid w:val="00F23ABB"/>
    <w:rsid w:val="00FC7FB9"/>
    <w:rsid w:val="00FF76AD"/>
    <w:rsid w:val="2B281A27"/>
    <w:rsid w:val="3246193B"/>
    <w:rsid w:val="4C5C12CD"/>
    <w:rsid w:val="5563056D"/>
    <w:rsid w:val="7F8F1182"/>
    <w:rsid w:val="8F6F17C1"/>
    <w:rsid w:val="CEAB2EFF"/>
    <w:rsid w:val="FDBC603F"/>
    <w:rsid w:val="FFE30927"/>
    <w:rsid w:val="FFEFFEC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Hyperlink"/>
    <w:basedOn w:val="7"/>
    <w:unhideWhenUsed/>
    <w:qFormat/>
    <w:uiPriority w:val="99"/>
    <w:rPr>
      <w:color w:val="0563C1" w:themeColor="hyperlink"/>
      <w:u w:val="single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未处理的提及1"/>
    <w:basedOn w:val="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1">
    <w:name w:val="页眉 字符"/>
    <w:basedOn w:val="7"/>
    <w:link w:val="5"/>
    <w:qFormat/>
    <w:uiPriority w:val="99"/>
    <w:rPr>
      <w:sz w:val="18"/>
      <w:szCs w:val="18"/>
    </w:rPr>
  </w:style>
  <w:style w:type="character" w:customStyle="1" w:styleId="12">
    <w:name w:val="页脚 字符"/>
    <w:basedOn w:val="7"/>
    <w:link w:val="4"/>
    <w:qFormat/>
    <w:uiPriority w:val="99"/>
    <w:rPr>
      <w:sz w:val="18"/>
      <w:szCs w:val="18"/>
    </w:rPr>
  </w:style>
  <w:style w:type="character" w:customStyle="1" w:styleId="13">
    <w:name w:val="日期 字符"/>
    <w:basedOn w:val="7"/>
    <w:link w:val="2"/>
    <w:semiHidden/>
    <w:qFormat/>
    <w:uiPriority w:val="99"/>
  </w:style>
  <w:style w:type="character" w:customStyle="1" w:styleId="14">
    <w:name w:val="批注框文本 字符"/>
    <w:basedOn w:val="7"/>
    <w:link w:val="3"/>
    <w:semiHidden/>
    <w:qFormat/>
    <w:uiPriority w:val="99"/>
    <w:rPr>
      <w:kern w:val="2"/>
      <w:sz w:val="18"/>
      <w:szCs w:val="18"/>
    </w:rPr>
  </w:style>
  <w:style w:type="paragraph" w:customStyle="1" w:styleId="15">
    <w:name w:val="Revision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1000</Words>
  <Characters>1090</Characters>
  <Lines>8</Lines>
  <Paragraphs>2</Paragraphs>
  <TotalTime>116</TotalTime>
  <ScaleCrop>false</ScaleCrop>
  <LinksUpToDate>false</LinksUpToDate>
  <CharactersWithSpaces>1092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2020-02-12T04:31:00Z</dcterms:created>
  <dc:creator>Zheng Cong</dc:creator>
  <cp:lastModifiedBy>吴怡杰</cp:lastModifiedBy>
  <dcterms:modified xsi:type="dcterms:W3CDTF">2026-04-22T01:49:53Z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5924F18BFB6BF5DB75670D63C096BCBD</vt:lpwstr>
  </property>
  <property fmtid="{D5CDD505-2E9C-101B-9397-08002B2CF9AE}" pid="4" name="KSOTemplateDocerSaveRecord">
    <vt:lpwstr>eyJoZGlkIjoiMWUxY2M2N2U2NzIyMTQ0OTZjZTYyOTY0MWQ0NzA5NjYiLCJ1c2VySWQiOiIxNDg1MzcwMDY2In0=</vt:lpwstr>
  </property>
</Properties>
</file>